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75B5" w14:textId="3340B825" w:rsidR="001339A5" w:rsidRDefault="00C15A73" w:rsidP="00C15A73">
      <w:pPr>
        <w:pStyle w:val="Heading1"/>
      </w:pPr>
      <w:r w:rsidRPr="00C15A73">
        <w:t>Writing math with a screen reader in Microsoft Word</w:t>
      </w:r>
    </w:p>
    <w:p w14:paraId="3962743C" w14:textId="163564A4" w:rsidR="00581561" w:rsidRPr="00B5208C" w:rsidRDefault="3A7D004F" w:rsidP="00581561">
      <w:r w:rsidRPr="00B5208C">
        <w:t>Document version: 28 June 2023</w:t>
      </w:r>
    </w:p>
    <w:p w14:paraId="379B048E" w14:textId="0A31F3CB" w:rsidR="00252C2D" w:rsidRDefault="00252C2D" w:rsidP="002642B5">
      <w:pPr>
        <w:pStyle w:val="Heading2"/>
      </w:pPr>
      <w:r>
        <w:t>Purpose</w:t>
      </w:r>
    </w:p>
    <w:p w14:paraId="5465CE36" w14:textId="00B20AA0" w:rsidR="002642B5" w:rsidRPr="002642B5" w:rsidRDefault="002642B5" w:rsidP="002642B5">
      <w:r>
        <w:t xml:space="preserve">This document describes the steps for writing math expressions with a screen reader in Microsoft Word. </w:t>
      </w:r>
      <w:r w:rsidR="00A057B5">
        <w:t>We’ll start with NVDA and move to JAWS when we are ready. Maybe Narrator one day.</w:t>
      </w:r>
    </w:p>
    <w:p w14:paraId="7FEB6718" w14:textId="4CCE9D02" w:rsidR="00252C2D" w:rsidRPr="002642B5" w:rsidRDefault="00252C2D" w:rsidP="002642B5">
      <w:pPr>
        <w:pStyle w:val="Heading2"/>
      </w:pPr>
      <w:r w:rsidRPr="002642B5">
        <w:t>Background</w:t>
      </w:r>
    </w:p>
    <w:p w14:paraId="52035A54" w14:textId="25FA30E1" w:rsidR="00716D3E" w:rsidRDefault="00C15A73" w:rsidP="00716D3E">
      <w:pPr>
        <w:rPr>
          <w:lang w:val="en-US"/>
        </w:rPr>
      </w:pPr>
      <w:r>
        <w:t xml:space="preserve">This is a work item of the </w:t>
      </w:r>
      <w:r w:rsidR="00252C2D">
        <w:t xml:space="preserve">“Reading and Writing </w:t>
      </w:r>
      <w:r w:rsidR="00581561">
        <w:t>A</w:t>
      </w:r>
      <w:r w:rsidR="00252C2D">
        <w:t xml:space="preserve">ccessible </w:t>
      </w:r>
      <w:r w:rsidR="00581561">
        <w:t>M</w:t>
      </w:r>
      <w:r w:rsidR="00252C2D">
        <w:t>ath</w:t>
      </w:r>
      <w:r w:rsidR="00581561">
        <w:t>”</w:t>
      </w:r>
      <w:r w:rsidR="00252C2D">
        <w:t xml:space="preserve"> group. We have an email discussion email list which you can join </w:t>
      </w:r>
      <w:r w:rsidR="00716D3E">
        <w:rPr>
          <w:lang w:val="en-US"/>
        </w:rPr>
        <w:t xml:space="preserve">by sending a blank email to </w:t>
      </w:r>
      <w:hyperlink r:id="rId8" w:history="1">
        <w:r w:rsidR="00716D3E">
          <w:rPr>
            <w:rStyle w:val="Hyperlink"/>
            <w:lang w:val="en-US"/>
          </w:rPr>
          <w:t>math-join@daisylists.org</w:t>
        </w:r>
      </w:hyperlink>
      <w:r w:rsidR="00252C2D">
        <w:rPr>
          <w:lang w:val="en-US"/>
        </w:rPr>
        <w:t xml:space="preserve">. </w:t>
      </w:r>
      <w:r w:rsidR="00716D3E">
        <w:rPr>
          <w:lang w:val="en-US"/>
        </w:rPr>
        <w:t xml:space="preserve">You can then post to the list </w:t>
      </w:r>
      <w:hyperlink r:id="rId9" w:history="1">
        <w:r w:rsidR="00716D3E">
          <w:rPr>
            <w:rStyle w:val="Hyperlink"/>
            <w:lang w:val="en-US"/>
          </w:rPr>
          <w:t>math@daisylists.org</w:t>
        </w:r>
      </w:hyperlink>
    </w:p>
    <w:p w14:paraId="594B5B68" w14:textId="3FDCF9D5" w:rsidR="00A057B5" w:rsidRDefault="009D5723" w:rsidP="009D5723">
      <w:pPr>
        <w:pStyle w:val="Heading2"/>
        <w:rPr>
          <w:lang w:val="en-US"/>
        </w:rPr>
      </w:pPr>
      <w:r>
        <w:rPr>
          <w:lang w:val="en-US"/>
        </w:rPr>
        <w:t>Prerequisites</w:t>
      </w:r>
    </w:p>
    <w:p w14:paraId="31240F2D" w14:textId="48F066FF" w:rsidR="009D5723" w:rsidRDefault="008946D5" w:rsidP="00106E56">
      <w:pPr>
        <w:pStyle w:val="ListParagraph"/>
        <w:numPr>
          <w:ilvl w:val="0"/>
          <w:numId w:val="1"/>
        </w:numPr>
      </w:pPr>
      <w:r>
        <w:t xml:space="preserve">Word processor: </w:t>
      </w:r>
      <w:r w:rsidR="009D5723">
        <w:t xml:space="preserve">Microsoft Word </w:t>
      </w:r>
      <w:r w:rsidR="007B7CF3">
        <w:t xml:space="preserve">for Microsoft </w:t>
      </w:r>
      <w:r>
        <w:t>365 version 2305 or later.</w:t>
      </w:r>
    </w:p>
    <w:p w14:paraId="6B144040" w14:textId="11ECD8D6" w:rsidR="008946D5" w:rsidRDefault="008946D5" w:rsidP="00106E56">
      <w:pPr>
        <w:pStyle w:val="ListParagraph"/>
        <w:numPr>
          <w:ilvl w:val="0"/>
          <w:numId w:val="1"/>
        </w:numPr>
      </w:pPr>
      <w:r>
        <w:t xml:space="preserve">Screen reader: </w:t>
      </w:r>
      <w:hyperlink r:id="rId10" w:history="1">
        <w:r w:rsidRPr="00E21A6A">
          <w:rPr>
            <w:rStyle w:val="Hyperlink"/>
          </w:rPr>
          <w:t>NVDA</w:t>
        </w:r>
      </w:hyperlink>
      <w:r>
        <w:t xml:space="preserve"> </w:t>
      </w:r>
      <w:r w:rsidR="00421E58">
        <w:t>2023.1 or later</w:t>
      </w:r>
      <w:r w:rsidR="00106E56">
        <w:t>.</w:t>
      </w:r>
    </w:p>
    <w:p w14:paraId="35313B1E" w14:textId="5CCA4073" w:rsidR="00421E58" w:rsidRDefault="00421E58" w:rsidP="00106E56">
      <w:pPr>
        <w:pStyle w:val="ListParagraph"/>
        <w:numPr>
          <w:ilvl w:val="0"/>
          <w:numId w:val="1"/>
        </w:numPr>
      </w:pPr>
      <w:r>
        <w:t>Math add</w:t>
      </w:r>
      <w:r w:rsidR="00106E56">
        <w:t>-</w:t>
      </w:r>
      <w:r>
        <w:t>on</w:t>
      </w:r>
      <w:r w:rsidR="00106E56">
        <w:t xml:space="preserve">: </w:t>
      </w:r>
      <w:hyperlink r:id="rId11" w:history="1">
        <w:r w:rsidR="00106E56" w:rsidRPr="00215BAC">
          <w:rPr>
            <w:rStyle w:val="Hyperlink"/>
          </w:rPr>
          <w:t>MathCAT</w:t>
        </w:r>
      </w:hyperlink>
      <w:r w:rsidR="00106E56">
        <w:t xml:space="preserve"> version 0.</w:t>
      </w:r>
      <w:r w:rsidR="00906AD3">
        <w:t>2.6</w:t>
      </w:r>
      <w:r w:rsidR="00106E56">
        <w:t xml:space="preserve"> or later.</w:t>
      </w:r>
    </w:p>
    <w:p w14:paraId="6300EE66" w14:textId="0D7E4190" w:rsidR="00C2790A" w:rsidRDefault="1D5179E7" w:rsidP="00C2790A">
      <w:pPr>
        <w:pStyle w:val="Heading2"/>
      </w:pPr>
      <w:r>
        <w:t>Step-by-step guide</w:t>
      </w:r>
    </w:p>
    <w:p w14:paraId="37CB05B0" w14:textId="107361C3" w:rsidR="008946D5" w:rsidRDefault="00A77CD4" w:rsidP="00716D3E">
      <w:r>
        <w:t xml:space="preserve">In Word there are </w:t>
      </w:r>
      <w:proofErr w:type="gramStart"/>
      <w:r w:rsidR="00A8596B">
        <w:t xml:space="preserve">many </w:t>
      </w:r>
      <w:r>
        <w:t>different way</w:t>
      </w:r>
      <w:r w:rsidR="009E0B35">
        <w:t>s</w:t>
      </w:r>
      <w:proofErr w:type="gramEnd"/>
      <w:r>
        <w:t xml:space="preserve"> to enter a</w:t>
      </w:r>
      <w:r w:rsidR="00A8596B">
        <w:t xml:space="preserve">n equation. This guide will focus on entering from the keyboard using the </w:t>
      </w:r>
      <w:proofErr w:type="spellStart"/>
      <w:r w:rsidR="00A8596B">
        <w:t>Unicode</w:t>
      </w:r>
      <w:r w:rsidR="00325980">
        <w:t>M</w:t>
      </w:r>
      <w:r w:rsidR="00A8596B">
        <w:t>ath</w:t>
      </w:r>
      <w:proofErr w:type="spellEnd"/>
      <w:r w:rsidR="00A8596B">
        <w:t xml:space="preserve"> feature.</w:t>
      </w:r>
    </w:p>
    <w:p w14:paraId="52BCDAD6" w14:textId="4DA67B6E" w:rsidR="00A8596B" w:rsidRDefault="004402D0" w:rsidP="008C476B">
      <w:pPr>
        <w:pStyle w:val="Heading3"/>
      </w:pPr>
      <w:r>
        <w:t xml:space="preserve">A </w:t>
      </w:r>
      <w:r w:rsidR="008C476B">
        <w:t xml:space="preserve">first </w:t>
      </w:r>
      <w:r>
        <w:t>math expression</w:t>
      </w:r>
    </w:p>
    <w:p w14:paraId="06EEDD6A" w14:textId="274E1065" w:rsidR="00AF18BA" w:rsidRDefault="00AF18BA" w:rsidP="00AF18BA">
      <w:pPr>
        <w:rPr>
          <w:lang w:val="en-US"/>
        </w:rPr>
      </w:pPr>
      <w:r>
        <w:t>Let’s begin at the beginning with “</w:t>
      </w:r>
      <w:r>
        <w:rPr>
          <w:lang w:val="en-US"/>
        </w:rPr>
        <w:t>one plus one equals two”.</w:t>
      </w:r>
    </w:p>
    <w:p w14:paraId="45EC0D69" w14:textId="05C8A904" w:rsidR="00AF18BA" w:rsidRDefault="008C476B" w:rsidP="008C476B">
      <w:r>
        <w:t>In a Word document, place the cursor where you want the equation.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1"/>
        <w:gridCol w:w="4295"/>
      </w:tblGrid>
      <w:tr w:rsidR="004C393D" w:rsidRPr="004C393D" w14:paraId="76EBD840" w14:textId="64B2DFE9" w:rsidTr="004C393D">
        <w:tc>
          <w:tcPr>
            <w:tcW w:w="4721" w:type="dxa"/>
          </w:tcPr>
          <w:p w14:paraId="51F674CE" w14:textId="77777777" w:rsidR="004C393D" w:rsidRPr="004C393D" w:rsidRDefault="004C393D">
            <w:r w:rsidRPr="004C393D">
              <w:t>Enter equation mode with alt and =</w:t>
            </w:r>
          </w:p>
        </w:tc>
        <w:tc>
          <w:tcPr>
            <w:tcW w:w="4295" w:type="dxa"/>
          </w:tcPr>
          <w:p w14:paraId="3D44C769" w14:textId="60A024B1" w:rsidR="004C393D" w:rsidRPr="004C393D" w:rsidRDefault="009D49D2">
            <w:r>
              <w:t>NVDA says “selected”</w:t>
            </w:r>
          </w:p>
        </w:tc>
      </w:tr>
      <w:tr w:rsidR="004C393D" w:rsidRPr="004C393D" w14:paraId="72C9223B" w14:textId="7C45B0D1" w:rsidTr="004C393D">
        <w:tc>
          <w:tcPr>
            <w:tcW w:w="4721" w:type="dxa"/>
          </w:tcPr>
          <w:p w14:paraId="50D41226" w14:textId="77777777" w:rsidR="004C393D" w:rsidRPr="004C393D" w:rsidRDefault="004C393D">
            <w:r w:rsidRPr="004C393D">
              <w:t>Now type 1+1=2</w:t>
            </w:r>
          </w:p>
        </w:tc>
        <w:tc>
          <w:tcPr>
            <w:tcW w:w="4295" w:type="dxa"/>
          </w:tcPr>
          <w:p w14:paraId="189D3791" w14:textId="13AA2D20" w:rsidR="004C393D" w:rsidRPr="004C393D" w:rsidRDefault="009D49D2">
            <w:r>
              <w:t>NVDA announces each character as you type it</w:t>
            </w:r>
          </w:p>
        </w:tc>
      </w:tr>
      <w:tr w:rsidR="004C393D" w:rsidRPr="004C393D" w14:paraId="2801DA35" w14:textId="45A0F570" w:rsidTr="004C393D">
        <w:tc>
          <w:tcPr>
            <w:tcW w:w="4721" w:type="dxa"/>
          </w:tcPr>
          <w:p w14:paraId="293316E3" w14:textId="0EA8E518" w:rsidR="004C393D" w:rsidRPr="004C393D" w:rsidRDefault="004C393D">
            <w:r w:rsidRPr="004C393D">
              <w:t xml:space="preserve">Move </w:t>
            </w:r>
            <w:r>
              <w:t>off the math with right arrow</w:t>
            </w:r>
          </w:p>
        </w:tc>
        <w:tc>
          <w:tcPr>
            <w:tcW w:w="4295" w:type="dxa"/>
          </w:tcPr>
          <w:p w14:paraId="4AF49405" w14:textId="5B10E49A" w:rsidR="004C393D" w:rsidRPr="004C393D" w:rsidRDefault="00FD5893">
            <w:r>
              <w:t>The math expression is announced to you by MathCAT</w:t>
            </w:r>
          </w:p>
        </w:tc>
      </w:tr>
    </w:tbl>
    <w:p w14:paraId="2AE6CB24" w14:textId="2C80F682" w:rsidR="00476F23" w:rsidRDefault="00476F23" w:rsidP="006C6F09">
      <w:pPr>
        <w:keepNext/>
      </w:pPr>
    </w:p>
    <w:p w14:paraId="53EFC93F" w14:textId="3B363D9F" w:rsidR="006C6F09" w:rsidRDefault="00000000" w:rsidP="006C6F09">
      <w:pPr>
        <w:keepNext/>
      </w:pPr>
      <w:r>
        <w:fldChar w:fldCharType="begin"/>
      </w:r>
      <w:r>
        <w:instrText>HYPERLINK "audio_demo_1.mp3"</w:instrText>
      </w:r>
      <w:r>
        <w:fldChar w:fldCharType="separate"/>
      </w:r>
      <w:r w:rsidR="00562061" w:rsidRPr="00562061">
        <w:rPr>
          <w:rStyle w:val="Hyperlink"/>
        </w:rPr>
        <w:t>A</w:t>
      </w:r>
      <w:r w:rsidR="00513F8F">
        <w:rPr>
          <w:rStyle w:val="Hyperlink"/>
        </w:rPr>
        <w:t xml:space="preserve">udio demo of “A </w:t>
      </w:r>
      <w:r w:rsidR="00562061" w:rsidRPr="00562061">
        <w:rPr>
          <w:rStyle w:val="Hyperlink"/>
        </w:rPr>
        <w:t>first math expression</w:t>
      </w:r>
      <w:r w:rsidR="00513F8F">
        <w:rPr>
          <w:rStyle w:val="Hyperlink"/>
        </w:rPr>
        <w:t>”</w:t>
      </w:r>
      <w:r>
        <w:rPr>
          <w:rStyle w:val="Hyperlink"/>
        </w:rPr>
        <w:fldChar w:fldCharType="end"/>
      </w:r>
    </w:p>
    <w:p w14:paraId="74EF508A" w14:textId="49CC75E9" w:rsidR="00252C2D" w:rsidRDefault="003A0323" w:rsidP="00B861AA">
      <w:pPr>
        <w:pStyle w:val="Heading3"/>
        <w:rPr>
          <w:lang w:val="en-US"/>
        </w:rPr>
      </w:pPr>
      <w:r>
        <w:rPr>
          <w:lang w:val="en-US"/>
        </w:rPr>
        <w:t>Not your first equation</w:t>
      </w:r>
    </w:p>
    <w:p w14:paraId="357DA13C" w14:textId="05603FAD" w:rsidR="00AF18BA" w:rsidRDefault="00B861AA" w:rsidP="00716D3E">
      <w:pPr>
        <w:rPr>
          <w:lang w:val="en-US"/>
        </w:rPr>
      </w:pPr>
      <w:r>
        <w:rPr>
          <w:lang w:val="en-US"/>
        </w:rPr>
        <w:t>N</w:t>
      </w:r>
      <w:r w:rsidR="00AF18BA">
        <w:rPr>
          <w:lang w:val="en-US"/>
        </w:rPr>
        <w:t>ext</w:t>
      </w:r>
      <w:r w:rsidR="004C1ADC">
        <w:rPr>
          <w:lang w:val="en-US"/>
        </w:rPr>
        <w:t>,</w:t>
      </w:r>
      <w:r w:rsidR="00AF18BA">
        <w:rPr>
          <w:lang w:val="en-US"/>
        </w:rPr>
        <w:t xml:space="preserve"> we want to write “one plus one is not equal to three”.</w:t>
      </w:r>
      <w:r w:rsidR="004C1ADC">
        <w:rPr>
          <w:lang w:val="en-US"/>
        </w:rPr>
        <w:t xml:space="preserve"> This uses a symbol not on the keyboard</w:t>
      </w:r>
      <w:r w:rsidR="00F73CF2">
        <w:rPr>
          <w:lang w:val="en-US"/>
        </w:rPr>
        <w:t>, and t</w:t>
      </w:r>
      <w:r w:rsidR="004C1ADC">
        <w:rPr>
          <w:lang w:val="en-US"/>
        </w:rPr>
        <w:t>here are many such symbols used in math</w:t>
      </w:r>
      <w:r w:rsidR="00F73CF2">
        <w:rPr>
          <w:lang w:val="en-US"/>
        </w:rPr>
        <w:t xml:space="preserve">. Word provides us with a neat way to enter these from the keyboard using </w:t>
      </w:r>
      <w:r w:rsidR="00327834">
        <w:rPr>
          <w:lang w:val="en-US"/>
        </w:rPr>
        <w:t>keywor</w:t>
      </w:r>
      <w:r w:rsidR="00AF1EC1">
        <w:rPr>
          <w:lang w:val="en-US"/>
        </w:rPr>
        <w:t>d</w:t>
      </w:r>
      <w:r w:rsidR="005A688F">
        <w:rPr>
          <w:lang w:val="en-US"/>
        </w:rPr>
        <w:t>s</w:t>
      </w:r>
      <w:r w:rsidR="00F73CF2">
        <w:rPr>
          <w:lang w:val="en-US"/>
        </w:rPr>
        <w:t>.</w:t>
      </w:r>
      <w:r w:rsidR="005A688F">
        <w:rPr>
          <w:lang w:val="en-US"/>
        </w:rPr>
        <w:t xml:space="preserve"> For “not equals” symbol we can use “\</w:t>
      </w:r>
      <w:proofErr w:type="spellStart"/>
      <w:r w:rsidR="005A688F">
        <w:rPr>
          <w:lang w:val="en-US"/>
        </w:rPr>
        <w:t>notequals</w:t>
      </w:r>
      <w:proofErr w:type="spellEnd"/>
      <w:r w:rsidR="005A688F">
        <w:rPr>
          <w:lang w:val="en-US"/>
        </w:rPr>
        <w:t>” or “\ne”.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1"/>
        <w:gridCol w:w="4295"/>
      </w:tblGrid>
      <w:tr w:rsidR="00AC3480" w:rsidRPr="004C393D" w14:paraId="1F8361DC" w14:textId="77777777">
        <w:tc>
          <w:tcPr>
            <w:tcW w:w="4721" w:type="dxa"/>
          </w:tcPr>
          <w:p w14:paraId="2404C543" w14:textId="161A11C3" w:rsidR="00AC3480" w:rsidRPr="004C393D" w:rsidRDefault="00AC3480">
            <w:r>
              <w:t xml:space="preserve">Place the cursor where you want the equation. </w:t>
            </w:r>
            <w:r w:rsidRPr="004C393D">
              <w:t>Enter equation mode with alt and =</w:t>
            </w:r>
          </w:p>
        </w:tc>
        <w:tc>
          <w:tcPr>
            <w:tcW w:w="4295" w:type="dxa"/>
          </w:tcPr>
          <w:p w14:paraId="66106F1C" w14:textId="77777777" w:rsidR="00AC3480" w:rsidRPr="004C393D" w:rsidRDefault="00AC3480">
            <w:r>
              <w:t>NVDA says “selected”</w:t>
            </w:r>
          </w:p>
        </w:tc>
      </w:tr>
      <w:tr w:rsidR="00AC3480" w:rsidRPr="004C393D" w14:paraId="06C5565E" w14:textId="77777777">
        <w:tc>
          <w:tcPr>
            <w:tcW w:w="4721" w:type="dxa"/>
          </w:tcPr>
          <w:p w14:paraId="0E4E02DA" w14:textId="1C15B230" w:rsidR="00AC3480" w:rsidRPr="004C393D" w:rsidRDefault="00AC3480">
            <w:r w:rsidRPr="004C393D">
              <w:t>Now type 1+1</w:t>
            </w:r>
          </w:p>
        </w:tc>
        <w:tc>
          <w:tcPr>
            <w:tcW w:w="4295" w:type="dxa"/>
          </w:tcPr>
          <w:p w14:paraId="61D01513" w14:textId="77777777" w:rsidR="00AC3480" w:rsidRPr="004C393D" w:rsidRDefault="00AC3480">
            <w:r>
              <w:t>NVDA announces each character as you type it</w:t>
            </w:r>
          </w:p>
        </w:tc>
      </w:tr>
      <w:tr w:rsidR="003D2E03" w:rsidRPr="004C393D" w14:paraId="75813B7C" w14:textId="77777777">
        <w:tc>
          <w:tcPr>
            <w:tcW w:w="4721" w:type="dxa"/>
          </w:tcPr>
          <w:p w14:paraId="04B33AAC" w14:textId="4F6173A6" w:rsidR="003D2E03" w:rsidRPr="004C393D" w:rsidRDefault="003D2E03">
            <w:r>
              <w:t>Now type \ne and press space</w:t>
            </w:r>
          </w:p>
        </w:tc>
        <w:tc>
          <w:tcPr>
            <w:tcW w:w="4295" w:type="dxa"/>
          </w:tcPr>
          <w:p w14:paraId="6ADE842A" w14:textId="6712D28A" w:rsidR="003D2E03" w:rsidRDefault="00B01593">
            <w:r>
              <w:t>NVDA announces each character as you type it</w:t>
            </w:r>
            <w:r w:rsidR="003F240B">
              <w:t xml:space="preserve"> but is silent when you press space. At this point the string “\ne” is changed </w:t>
            </w:r>
            <w:r w:rsidR="00A306C6">
              <w:t>(built</w:t>
            </w:r>
            <w:r w:rsidR="00152AE6">
              <w:t xml:space="preserve"> </w:t>
            </w:r>
            <w:r w:rsidR="00A306C6">
              <w:t xml:space="preserve">up) </w:t>
            </w:r>
            <w:r w:rsidR="003F240B">
              <w:t>to a not equals symbol.</w:t>
            </w:r>
          </w:p>
        </w:tc>
      </w:tr>
      <w:tr w:rsidR="00AC3480" w:rsidRPr="004C393D" w14:paraId="027D4569" w14:textId="77777777">
        <w:tc>
          <w:tcPr>
            <w:tcW w:w="4721" w:type="dxa"/>
          </w:tcPr>
          <w:p w14:paraId="5B8F0D2B" w14:textId="549C5A15" w:rsidR="00AC3480" w:rsidRPr="004C393D" w:rsidRDefault="00E82B30">
            <w:r>
              <w:t>Type 3 to complete the expression</w:t>
            </w:r>
          </w:p>
        </w:tc>
        <w:tc>
          <w:tcPr>
            <w:tcW w:w="4295" w:type="dxa"/>
          </w:tcPr>
          <w:p w14:paraId="19F90D3B" w14:textId="0777FC91" w:rsidR="00AC3480" w:rsidRPr="004C393D" w:rsidRDefault="00E82B30">
            <w:r>
              <w:t>NVDA says “3”</w:t>
            </w:r>
          </w:p>
        </w:tc>
      </w:tr>
      <w:tr w:rsidR="00E82B30" w:rsidRPr="004C393D" w14:paraId="500F5D46" w14:textId="77777777">
        <w:tc>
          <w:tcPr>
            <w:tcW w:w="4721" w:type="dxa"/>
          </w:tcPr>
          <w:p w14:paraId="73462867" w14:textId="77777777" w:rsidR="00E82B30" w:rsidRPr="004C393D" w:rsidRDefault="00E82B30">
            <w:r w:rsidRPr="004C393D">
              <w:t xml:space="preserve">Move </w:t>
            </w:r>
            <w:r>
              <w:t>off the math with right arrow</w:t>
            </w:r>
          </w:p>
        </w:tc>
        <w:tc>
          <w:tcPr>
            <w:tcW w:w="4295" w:type="dxa"/>
          </w:tcPr>
          <w:p w14:paraId="6588E6E9" w14:textId="77777777" w:rsidR="00E82B30" w:rsidRPr="004C393D" w:rsidRDefault="00E82B30">
            <w:r>
              <w:t>The math expression is announced to you by MathCAT</w:t>
            </w:r>
          </w:p>
        </w:tc>
      </w:tr>
    </w:tbl>
    <w:p w14:paraId="2CAA2262" w14:textId="3E4E3C75" w:rsidR="009731DF" w:rsidRDefault="009731DF" w:rsidP="009731DF">
      <w:r>
        <w:lastRenderedPageBreak/>
        <w:t>Tip: you can use the slash character in</w:t>
      </w:r>
      <w:r w:rsidR="003B6166">
        <w:t xml:space="preserve"> front of an operator to negate it. So “/=” is not equals, </w:t>
      </w:r>
      <w:r w:rsidR="00773E64">
        <w:t>“/</w:t>
      </w:r>
      <w:r w:rsidR="008E28DF">
        <w:t>\</w:t>
      </w:r>
      <w:r w:rsidR="00ED69D7">
        <w:t>le</w:t>
      </w:r>
      <w:r w:rsidR="008E28DF">
        <w:t>” buil</w:t>
      </w:r>
      <w:r w:rsidR="00A306C6">
        <w:t>t</w:t>
      </w:r>
      <w:r w:rsidR="00152AE6">
        <w:t xml:space="preserve"> </w:t>
      </w:r>
      <w:r w:rsidR="00A306C6">
        <w:t>up</w:t>
      </w:r>
      <w:r w:rsidR="008E28DF">
        <w:t xml:space="preserve"> to “not </w:t>
      </w:r>
      <w:r w:rsidR="00ED69D7">
        <w:t>less than</w:t>
      </w:r>
      <w:r w:rsidR="00000782">
        <w:t xml:space="preserve"> or equal</w:t>
      </w:r>
      <w:r w:rsidR="008E28DF">
        <w:t>”.</w:t>
      </w:r>
    </w:p>
    <w:p w14:paraId="3197B8D5" w14:textId="28B41D47" w:rsidR="009560BB" w:rsidRDefault="00000000" w:rsidP="009560BB">
      <w:pPr>
        <w:keepNext/>
      </w:pPr>
      <w:hyperlink r:id="rId12" w:history="1">
        <w:r w:rsidR="009560BB" w:rsidRPr="00562061">
          <w:rPr>
            <w:rStyle w:val="Hyperlink"/>
          </w:rPr>
          <w:t>A</w:t>
        </w:r>
        <w:r w:rsidR="009560BB">
          <w:rPr>
            <w:rStyle w:val="Hyperlink"/>
          </w:rPr>
          <w:t>udio demo of “</w:t>
        </w:r>
        <w:r w:rsidR="009560BB" w:rsidRPr="009560BB">
          <w:rPr>
            <w:rStyle w:val="Hyperlink"/>
          </w:rPr>
          <w:t>Not your first math expression</w:t>
        </w:r>
        <w:r w:rsidR="009560BB">
          <w:rPr>
            <w:rStyle w:val="Hyperlink"/>
          </w:rPr>
          <w:t>”</w:t>
        </w:r>
      </w:hyperlink>
    </w:p>
    <w:p w14:paraId="02DAF2CA" w14:textId="753C7D91" w:rsidR="00716D3E" w:rsidRDefault="00D70704" w:rsidP="00D70704">
      <w:pPr>
        <w:pStyle w:val="Heading3"/>
      </w:pPr>
      <w:r>
        <w:t xml:space="preserve">Edit as you </w:t>
      </w:r>
      <w:proofErr w:type="gramStart"/>
      <w:r>
        <w:t>go</w:t>
      </w:r>
      <w:proofErr w:type="gramEnd"/>
    </w:p>
    <w:p w14:paraId="5DA6D7FF" w14:textId="6F95E776" w:rsidR="00D70704" w:rsidRDefault="00D70704" w:rsidP="00D70704">
      <w:r>
        <w:t xml:space="preserve">When writing an expression from the keyboard it is possible to </w:t>
      </w:r>
      <w:r w:rsidR="00031323">
        <w:t xml:space="preserve">stop in the middle to review and edit. </w:t>
      </w:r>
      <w:r w:rsidR="00837EAA">
        <w:t xml:space="preserve">You can also edit an existing expression. </w:t>
      </w:r>
      <w:r w:rsidR="00031323">
        <w:t xml:space="preserve">To do this, </w:t>
      </w:r>
      <w:r w:rsidR="00837EAA">
        <w:t>use the left and right arrow keys</w:t>
      </w:r>
      <w:r w:rsidR="00031323">
        <w:t>.</w:t>
      </w:r>
      <w:r w:rsidR="00170D48">
        <w:t xml:space="preserve"> You can delete and insert characters </w:t>
      </w:r>
      <w:r w:rsidR="001E2B1A">
        <w:t>like</w:t>
      </w:r>
      <w:r w:rsidR="00170D48">
        <w:t xml:space="preserve"> how you edit </w:t>
      </w:r>
      <w:r w:rsidR="00136839">
        <w:t>regular text.</w:t>
      </w:r>
      <w:r w:rsidR="00AB1E48">
        <w:t xml:space="preserve"> One thing to remember is to press the space bar after a </w:t>
      </w:r>
      <w:proofErr w:type="spellStart"/>
      <w:r w:rsidR="00AB1E48">
        <w:t>UnicodeMath</w:t>
      </w:r>
      <w:proofErr w:type="spellEnd"/>
      <w:r w:rsidR="00AB1E48">
        <w:t xml:space="preserve"> </w:t>
      </w:r>
      <w:r w:rsidR="00AF1EC1">
        <w:t xml:space="preserve">keyword </w:t>
      </w:r>
      <w:r w:rsidR="00AB1E48">
        <w:t xml:space="preserve">for it to </w:t>
      </w:r>
      <w:r w:rsidR="001E2B1A">
        <w:t>convert to the symbol.</w:t>
      </w:r>
    </w:p>
    <w:p w14:paraId="39E20E3D" w14:textId="7E78B7F4" w:rsidR="001E2B1A" w:rsidRDefault="00DC30D3" w:rsidP="00D70704">
      <w:pPr>
        <w:rPr>
          <w:lang w:val="en-US"/>
        </w:rPr>
      </w:pPr>
      <w:r>
        <w:t xml:space="preserve">In this step, we will change the expression </w:t>
      </w:r>
      <w:r>
        <w:rPr>
          <w:lang w:val="en-US"/>
        </w:rPr>
        <w:t xml:space="preserve">“one plus one is not equal to three” to </w:t>
      </w:r>
      <w:r>
        <w:t>“</w:t>
      </w:r>
      <w:r>
        <w:rPr>
          <w:lang w:val="en-US"/>
        </w:rPr>
        <w:t>one plus one equals two”.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1"/>
        <w:gridCol w:w="4295"/>
      </w:tblGrid>
      <w:tr w:rsidR="005E0C4D" w:rsidRPr="004C393D" w14:paraId="37E79EFE" w14:textId="77777777">
        <w:tc>
          <w:tcPr>
            <w:tcW w:w="4721" w:type="dxa"/>
          </w:tcPr>
          <w:p w14:paraId="1818CD63" w14:textId="7309FAAE" w:rsidR="005E0C4D" w:rsidRPr="004C393D" w:rsidRDefault="005E0C4D">
            <w:r>
              <w:t xml:space="preserve">Place the cursor </w:t>
            </w:r>
            <w:r w:rsidR="006205A4">
              <w:t>at the expression</w:t>
            </w:r>
          </w:p>
        </w:tc>
        <w:tc>
          <w:tcPr>
            <w:tcW w:w="4295" w:type="dxa"/>
          </w:tcPr>
          <w:p w14:paraId="0A8BFFF9" w14:textId="74B230E0" w:rsidR="005E0C4D" w:rsidRPr="004C393D" w:rsidRDefault="005E0C4D">
            <w:r>
              <w:t xml:space="preserve">NVDA says </w:t>
            </w:r>
            <w:r w:rsidR="0041762C">
              <w:rPr>
                <w:kern w:val="0"/>
                <w:lang w:val="en-US"/>
                <w14:ligatures w14:val="none"/>
              </w:rPr>
              <w:t xml:space="preserve">“one plus one is not equal to three </w:t>
            </w:r>
            <w:proofErr w:type="gramStart"/>
            <w:r w:rsidR="0041762C">
              <w:rPr>
                <w:kern w:val="0"/>
                <w:lang w:val="en-US"/>
                <w14:ligatures w14:val="none"/>
              </w:rPr>
              <w:t>equation</w:t>
            </w:r>
            <w:proofErr w:type="gramEnd"/>
            <w:r>
              <w:t>”</w:t>
            </w:r>
          </w:p>
        </w:tc>
      </w:tr>
      <w:tr w:rsidR="005E0C4D" w:rsidRPr="004C393D" w14:paraId="558200C6" w14:textId="77777777">
        <w:tc>
          <w:tcPr>
            <w:tcW w:w="4721" w:type="dxa"/>
          </w:tcPr>
          <w:p w14:paraId="4BCB3E34" w14:textId="2E6FE887" w:rsidR="005E0C4D" w:rsidRPr="004C393D" w:rsidRDefault="005E0C4D">
            <w:r w:rsidRPr="004C393D">
              <w:t xml:space="preserve">Now </w:t>
            </w:r>
            <w:r w:rsidR="00B51FAE">
              <w:t xml:space="preserve">move through </w:t>
            </w:r>
            <w:r w:rsidR="00577DAF">
              <w:t>character by character with the right arrow key</w:t>
            </w:r>
          </w:p>
        </w:tc>
        <w:tc>
          <w:tcPr>
            <w:tcW w:w="4295" w:type="dxa"/>
          </w:tcPr>
          <w:p w14:paraId="4F1E391E" w14:textId="6440CE4A" w:rsidR="005E0C4D" w:rsidRPr="004C393D" w:rsidRDefault="005E0C4D">
            <w:r>
              <w:t xml:space="preserve">NVDA announces each character as you </w:t>
            </w:r>
            <w:r w:rsidR="00577DAF">
              <w:t>move “one”, “</w:t>
            </w:r>
            <w:r w:rsidR="00C62F33">
              <w:t>plus”, “one”, “not equal”</w:t>
            </w:r>
          </w:p>
        </w:tc>
      </w:tr>
      <w:tr w:rsidR="005E0C4D" w:rsidRPr="004C393D" w14:paraId="10A7F537" w14:textId="77777777">
        <w:tc>
          <w:tcPr>
            <w:tcW w:w="4721" w:type="dxa"/>
          </w:tcPr>
          <w:p w14:paraId="776493B4" w14:textId="1B8311DC" w:rsidR="005E0C4D" w:rsidRPr="004C393D" w:rsidRDefault="005E0C4D">
            <w:r>
              <w:t xml:space="preserve">Now </w:t>
            </w:r>
            <w:r w:rsidR="00C62F33">
              <w:t>use the delete key to erase the “not equal” symbol</w:t>
            </w:r>
          </w:p>
        </w:tc>
        <w:tc>
          <w:tcPr>
            <w:tcW w:w="4295" w:type="dxa"/>
          </w:tcPr>
          <w:p w14:paraId="6883502E" w14:textId="2E0DB7CC" w:rsidR="005E0C4D" w:rsidRDefault="005E0C4D">
            <w:r>
              <w:t xml:space="preserve">NVDA announces </w:t>
            </w:r>
            <w:r w:rsidR="00B90F68">
              <w:t>the expression “</w:t>
            </w:r>
            <w:r w:rsidR="00754657">
              <w:rPr>
                <w:kern w:val="0"/>
                <w:lang w:val="en-US"/>
                <w14:ligatures w14:val="none"/>
              </w:rPr>
              <w:t>“one plus thirteen</w:t>
            </w:r>
            <w:r w:rsidR="00754657">
              <w:t>”</w:t>
            </w:r>
          </w:p>
        </w:tc>
      </w:tr>
      <w:tr w:rsidR="008409A4" w:rsidRPr="004C393D" w14:paraId="78C02063" w14:textId="77777777">
        <w:tc>
          <w:tcPr>
            <w:tcW w:w="4721" w:type="dxa"/>
          </w:tcPr>
          <w:p w14:paraId="313EDDBA" w14:textId="596B3E30" w:rsidR="008409A4" w:rsidRDefault="008409A4">
            <w:r>
              <w:t>Type the “equals” key</w:t>
            </w:r>
          </w:p>
        </w:tc>
        <w:tc>
          <w:tcPr>
            <w:tcW w:w="4295" w:type="dxa"/>
          </w:tcPr>
          <w:p w14:paraId="53CCF42C" w14:textId="584CE578" w:rsidR="008409A4" w:rsidRDefault="00B25267">
            <w:r>
              <w:t>NVDA announces “equals”</w:t>
            </w:r>
          </w:p>
        </w:tc>
      </w:tr>
      <w:tr w:rsidR="002F3254" w:rsidRPr="004C393D" w14:paraId="35AF1293" w14:textId="77777777">
        <w:tc>
          <w:tcPr>
            <w:tcW w:w="4721" w:type="dxa"/>
          </w:tcPr>
          <w:p w14:paraId="7D64616C" w14:textId="1D957B8C" w:rsidR="002F3254" w:rsidRDefault="00C41850">
            <w:r>
              <w:t>Use the left key to m</w:t>
            </w:r>
            <w:r w:rsidR="002F3254">
              <w:t>ove back one character and hear the complete expression</w:t>
            </w:r>
          </w:p>
        </w:tc>
        <w:tc>
          <w:tcPr>
            <w:tcW w:w="4295" w:type="dxa"/>
          </w:tcPr>
          <w:p w14:paraId="0EFA5C2E" w14:textId="2C55732B" w:rsidR="002F3254" w:rsidRDefault="002E06A8">
            <w:r>
              <w:t>NVDA announces the revised math expression</w:t>
            </w:r>
          </w:p>
        </w:tc>
      </w:tr>
      <w:tr w:rsidR="002E06A8" w:rsidRPr="004C393D" w14:paraId="771D044D" w14:textId="77777777">
        <w:tc>
          <w:tcPr>
            <w:tcW w:w="4721" w:type="dxa"/>
          </w:tcPr>
          <w:p w14:paraId="1377E2BC" w14:textId="345B9FE8" w:rsidR="002E06A8" w:rsidRDefault="002E06A8">
            <w:r>
              <w:t>Use the right key to move forward one character</w:t>
            </w:r>
          </w:p>
        </w:tc>
        <w:tc>
          <w:tcPr>
            <w:tcW w:w="4295" w:type="dxa"/>
          </w:tcPr>
          <w:p w14:paraId="79421498" w14:textId="2E516970" w:rsidR="002E06A8" w:rsidRDefault="002E06A8">
            <w:r>
              <w:t>NVDA announces “3”</w:t>
            </w:r>
          </w:p>
        </w:tc>
      </w:tr>
      <w:tr w:rsidR="005E0C4D" w:rsidRPr="004C393D" w14:paraId="42DB14FB" w14:textId="77777777">
        <w:tc>
          <w:tcPr>
            <w:tcW w:w="4721" w:type="dxa"/>
          </w:tcPr>
          <w:p w14:paraId="1677062A" w14:textId="6E0C4FF5" w:rsidR="005E0C4D" w:rsidRPr="004C393D" w:rsidRDefault="00D47E8A">
            <w:r>
              <w:t>Use the delete key to erase the “3”</w:t>
            </w:r>
          </w:p>
        </w:tc>
        <w:tc>
          <w:tcPr>
            <w:tcW w:w="4295" w:type="dxa"/>
          </w:tcPr>
          <w:p w14:paraId="6F344229" w14:textId="632E45DF" w:rsidR="005E0C4D" w:rsidRPr="004C393D" w:rsidRDefault="005E0C4D">
            <w:r>
              <w:t>NVDA says “</w:t>
            </w:r>
            <w:r w:rsidR="005939B7">
              <w:t>end equation</w:t>
            </w:r>
            <w:r>
              <w:t>”</w:t>
            </w:r>
            <w:r w:rsidR="005939B7">
              <w:t xml:space="preserve"> (because you are at the end)</w:t>
            </w:r>
          </w:p>
        </w:tc>
      </w:tr>
      <w:tr w:rsidR="005939B7" w:rsidRPr="004C393D" w14:paraId="44D021C9" w14:textId="77777777">
        <w:tc>
          <w:tcPr>
            <w:tcW w:w="4721" w:type="dxa"/>
          </w:tcPr>
          <w:p w14:paraId="70E95904" w14:textId="099F6A4E" w:rsidR="005939B7" w:rsidRDefault="00D96EA5">
            <w:r>
              <w:t>Type “2”</w:t>
            </w:r>
          </w:p>
        </w:tc>
        <w:tc>
          <w:tcPr>
            <w:tcW w:w="4295" w:type="dxa"/>
          </w:tcPr>
          <w:p w14:paraId="4308D495" w14:textId="497A6552" w:rsidR="005939B7" w:rsidRDefault="00D96EA5">
            <w:r>
              <w:t>NVDA announces “2”</w:t>
            </w:r>
          </w:p>
        </w:tc>
      </w:tr>
      <w:tr w:rsidR="00D96EA5" w:rsidRPr="004C393D" w14:paraId="65865C95" w14:textId="77777777">
        <w:tc>
          <w:tcPr>
            <w:tcW w:w="4721" w:type="dxa"/>
          </w:tcPr>
          <w:p w14:paraId="4EA0272C" w14:textId="77777777" w:rsidR="00D96EA5" w:rsidRDefault="00D96EA5">
            <w:r>
              <w:t>Use the left key to move back one character and hear the complete expression</w:t>
            </w:r>
          </w:p>
        </w:tc>
        <w:tc>
          <w:tcPr>
            <w:tcW w:w="4295" w:type="dxa"/>
          </w:tcPr>
          <w:p w14:paraId="710B9CAC" w14:textId="77777777" w:rsidR="00D96EA5" w:rsidRDefault="00D96EA5">
            <w:r>
              <w:t>NVDA announces the revised math expression</w:t>
            </w:r>
          </w:p>
        </w:tc>
      </w:tr>
      <w:tr w:rsidR="005E0C4D" w:rsidRPr="004C393D" w14:paraId="651D13B7" w14:textId="77777777">
        <w:tc>
          <w:tcPr>
            <w:tcW w:w="4721" w:type="dxa"/>
          </w:tcPr>
          <w:p w14:paraId="69C0C536" w14:textId="77777777" w:rsidR="005E0C4D" w:rsidRPr="004C393D" w:rsidRDefault="005E0C4D">
            <w:r w:rsidRPr="004C393D">
              <w:t xml:space="preserve">Move </w:t>
            </w:r>
            <w:r>
              <w:t>off the math with right arrow</w:t>
            </w:r>
          </w:p>
        </w:tc>
        <w:tc>
          <w:tcPr>
            <w:tcW w:w="4295" w:type="dxa"/>
          </w:tcPr>
          <w:p w14:paraId="235A9544" w14:textId="77777777" w:rsidR="005E0C4D" w:rsidRPr="004C393D" w:rsidRDefault="005E0C4D">
            <w:r>
              <w:t>The math expression is announced to you by MathCAT</w:t>
            </w:r>
          </w:p>
        </w:tc>
      </w:tr>
    </w:tbl>
    <w:p w14:paraId="2F50FA63" w14:textId="4EF7B2D0" w:rsidR="00F85F55" w:rsidRDefault="0043741E" w:rsidP="0043741E">
      <w:pPr>
        <w:rPr>
          <w:lang w:val="en-US"/>
        </w:rPr>
      </w:pPr>
      <w:r>
        <w:rPr>
          <w:lang w:val="en-US"/>
        </w:rPr>
        <w:t xml:space="preserve">Tip: Word refers to the </w:t>
      </w:r>
      <w:proofErr w:type="spellStart"/>
      <w:r>
        <w:rPr>
          <w:lang w:val="en-US"/>
        </w:rPr>
        <w:t>UnicodeMath</w:t>
      </w:r>
      <w:proofErr w:type="spellEnd"/>
      <w:r>
        <w:rPr>
          <w:lang w:val="en-US"/>
        </w:rPr>
        <w:t xml:space="preserve"> version of the </w:t>
      </w:r>
      <w:proofErr w:type="gramStart"/>
      <w:r>
        <w:rPr>
          <w:lang w:val="en-US"/>
        </w:rPr>
        <w:t>expression is</w:t>
      </w:r>
      <w:proofErr w:type="gramEnd"/>
      <w:r>
        <w:rPr>
          <w:lang w:val="en-US"/>
        </w:rPr>
        <w:t xml:space="preserve"> “Linear” and the </w:t>
      </w:r>
      <w:proofErr w:type="gramStart"/>
      <w:r w:rsidR="00F4604C">
        <w:rPr>
          <w:lang w:val="en-US"/>
        </w:rPr>
        <w:t>built up</w:t>
      </w:r>
      <w:proofErr w:type="gramEnd"/>
      <w:r w:rsidR="00F4604C">
        <w:rPr>
          <w:lang w:val="en-US"/>
        </w:rPr>
        <w:t xml:space="preserve"> graphical display as “Professional”. When on an expression you can switch </w:t>
      </w:r>
      <w:r w:rsidR="000A29AC">
        <w:rPr>
          <w:lang w:val="en-US"/>
        </w:rPr>
        <w:t xml:space="preserve">the display modes </w:t>
      </w:r>
      <w:r w:rsidR="00F4604C">
        <w:rPr>
          <w:lang w:val="en-US"/>
        </w:rPr>
        <w:t xml:space="preserve">with “ctrl + </w:t>
      </w:r>
      <w:r w:rsidR="00CF1A7F">
        <w:rPr>
          <w:lang w:val="en-US"/>
        </w:rPr>
        <w:t>shift + =”</w:t>
      </w:r>
      <w:r w:rsidR="000A29AC">
        <w:rPr>
          <w:lang w:val="en-US"/>
        </w:rPr>
        <w:t xml:space="preserve"> for Linear and “ctrl + =” for Professional.</w:t>
      </w:r>
      <w:r w:rsidR="00A63C08">
        <w:rPr>
          <w:lang w:val="en-US"/>
        </w:rPr>
        <w:t xml:space="preserve"> In either mode you can edit the expression with a screen reader.</w:t>
      </w:r>
    </w:p>
    <w:p w14:paraId="57BE1561" w14:textId="74F9D443" w:rsidR="00A90D10" w:rsidRDefault="00FC632A" w:rsidP="00FC632A">
      <w:pPr>
        <w:pStyle w:val="Heading3"/>
        <w:rPr>
          <w:lang w:val="en-US"/>
        </w:rPr>
      </w:pPr>
      <w:r>
        <w:rPr>
          <w:lang w:val="en-US"/>
        </w:rPr>
        <w:t>Simple Fractions</w:t>
      </w:r>
    </w:p>
    <w:p w14:paraId="783BB597" w14:textId="2DC2B58A" w:rsidR="006B305F" w:rsidRDefault="00C54393" w:rsidP="006B305F">
      <w:pPr>
        <w:rPr>
          <w:lang w:val="en-US"/>
        </w:rPr>
      </w:pPr>
      <w:r>
        <w:rPr>
          <w:lang w:val="en-US"/>
        </w:rPr>
        <w:t xml:space="preserve">Let’s now look at writing fractions. We will start </w:t>
      </w:r>
      <w:r w:rsidR="0040079F">
        <w:rPr>
          <w:lang w:val="en-US"/>
        </w:rPr>
        <w:t xml:space="preserve">with </w:t>
      </w:r>
      <w:r w:rsidR="00C26BFE">
        <w:rPr>
          <w:lang w:val="en-US"/>
        </w:rPr>
        <w:t xml:space="preserve">creating the expression “a equals negative </w:t>
      </w:r>
      <w:r w:rsidR="0017659A">
        <w:rPr>
          <w:lang w:val="en-US"/>
        </w:rPr>
        <w:t>b over a”.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1"/>
        <w:gridCol w:w="4295"/>
      </w:tblGrid>
      <w:tr w:rsidR="0017659A" w:rsidRPr="004C393D" w14:paraId="708200DE" w14:textId="77777777">
        <w:tc>
          <w:tcPr>
            <w:tcW w:w="4721" w:type="dxa"/>
          </w:tcPr>
          <w:p w14:paraId="28D0BE78" w14:textId="77777777" w:rsidR="0017659A" w:rsidRPr="004C393D" w:rsidRDefault="0017659A">
            <w:r>
              <w:t xml:space="preserve">Place the cursor where you want the equation. </w:t>
            </w:r>
            <w:r w:rsidRPr="004C393D">
              <w:t>Enter equation mode with alt and =</w:t>
            </w:r>
          </w:p>
        </w:tc>
        <w:tc>
          <w:tcPr>
            <w:tcW w:w="4295" w:type="dxa"/>
          </w:tcPr>
          <w:p w14:paraId="6B27CA1F" w14:textId="77777777" w:rsidR="0017659A" w:rsidRPr="004C393D" w:rsidRDefault="0017659A">
            <w:r>
              <w:t>NVDA says “selected”</w:t>
            </w:r>
          </w:p>
        </w:tc>
      </w:tr>
      <w:tr w:rsidR="0017659A" w:rsidRPr="004C393D" w14:paraId="25AF10D8" w14:textId="77777777">
        <w:tc>
          <w:tcPr>
            <w:tcW w:w="4721" w:type="dxa"/>
          </w:tcPr>
          <w:p w14:paraId="46683D5C" w14:textId="192C65D7" w:rsidR="0017659A" w:rsidRPr="004C393D" w:rsidRDefault="0017659A">
            <w:r w:rsidRPr="004C393D">
              <w:t xml:space="preserve">Now type </w:t>
            </w:r>
            <w:r w:rsidR="0051154C">
              <w:t xml:space="preserve">a </w:t>
            </w:r>
            <w:proofErr w:type="gramStart"/>
            <w:r w:rsidR="0051154C">
              <w:t>equals</w:t>
            </w:r>
            <w:proofErr w:type="gramEnd"/>
            <w:r w:rsidR="0051154C">
              <w:t xml:space="preserve"> minus</w:t>
            </w:r>
          </w:p>
        </w:tc>
        <w:tc>
          <w:tcPr>
            <w:tcW w:w="4295" w:type="dxa"/>
          </w:tcPr>
          <w:p w14:paraId="2806BDE0" w14:textId="13E6EB8B" w:rsidR="0017659A" w:rsidRPr="004C393D" w:rsidRDefault="0017659A">
            <w:r>
              <w:t xml:space="preserve">NVDA announces </w:t>
            </w:r>
            <w:r w:rsidR="004063BE">
              <w:t>“a equals dash”</w:t>
            </w:r>
          </w:p>
        </w:tc>
      </w:tr>
      <w:tr w:rsidR="00413FCD" w:rsidRPr="004C393D" w14:paraId="636FC4E9" w14:textId="77777777">
        <w:tc>
          <w:tcPr>
            <w:tcW w:w="4721" w:type="dxa"/>
          </w:tcPr>
          <w:p w14:paraId="688B88DD" w14:textId="1F83E09F" w:rsidR="00413FCD" w:rsidRPr="004C393D" w:rsidRDefault="00413FCD">
            <w:r>
              <w:t xml:space="preserve">Next you will create the fraction, type </w:t>
            </w:r>
            <w:r w:rsidR="007F2D57">
              <w:t>“</w:t>
            </w:r>
            <w:r>
              <w:t xml:space="preserve">b </w:t>
            </w:r>
            <w:proofErr w:type="gramStart"/>
            <w:r>
              <w:t>slash</w:t>
            </w:r>
            <w:proofErr w:type="gramEnd"/>
            <w:r>
              <w:t xml:space="preserve"> a</w:t>
            </w:r>
            <w:r w:rsidR="007F2D57">
              <w:t>”</w:t>
            </w:r>
          </w:p>
        </w:tc>
        <w:tc>
          <w:tcPr>
            <w:tcW w:w="4295" w:type="dxa"/>
          </w:tcPr>
          <w:p w14:paraId="4C0E80CB" w14:textId="58155F50" w:rsidR="00413FCD" w:rsidRDefault="00413FCD">
            <w:r>
              <w:t>NVDA announces each character as you type it</w:t>
            </w:r>
          </w:p>
        </w:tc>
      </w:tr>
      <w:tr w:rsidR="00413FCD" w:rsidRPr="004C393D" w14:paraId="1766A6B0" w14:textId="77777777">
        <w:tc>
          <w:tcPr>
            <w:tcW w:w="4721" w:type="dxa"/>
          </w:tcPr>
          <w:p w14:paraId="1E7B1993" w14:textId="24ED53C4" w:rsidR="00413FCD" w:rsidRDefault="007F2D57">
            <w:r>
              <w:t>Press space and the fra</w:t>
            </w:r>
            <w:r w:rsidR="00EA3D6A">
              <w:t>ction will be converted (“built up”)</w:t>
            </w:r>
          </w:p>
        </w:tc>
        <w:tc>
          <w:tcPr>
            <w:tcW w:w="4295" w:type="dxa"/>
          </w:tcPr>
          <w:p w14:paraId="7390DC77" w14:textId="7ACD1B3B" w:rsidR="00413FCD" w:rsidRDefault="000B7A15">
            <w:r>
              <w:t>NVDA announces “space”</w:t>
            </w:r>
          </w:p>
        </w:tc>
      </w:tr>
      <w:tr w:rsidR="0056271D" w:rsidRPr="004C393D" w14:paraId="019C6B2D" w14:textId="77777777">
        <w:tc>
          <w:tcPr>
            <w:tcW w:w="4721" w:type="dxa"/>
          </w:tcPr>
          <w:p w14:paraId="718F1EC6" w14:textId="4DA60B86" w:rsidR="0056271D" w:rsidRDefault="0056271D">
            <w:r>
              <w:t>Use the left key to move back and hear the expression.</w:t>
            </w:r>
          </w:p>
        </w:tc>
        <w:tc>
          <w:tcPr>
            <w:tcW w:w="4295" w:type="dxa"/>
          </w:tcPr>
          <w:p w14:paraId="1A9C84B9" w14:textId="36EAC38E" w:rsidR="0056271D" w:rsidRDefault="00C1693F">
            <w:r>
              <w:rPr>
                <w:rFonts w:ascii="Segoe UI" w:hAnsi="Segoe UI" w:cs="Segoe UI"/>
                <w:kern w:val="0"/>
                <w:sz w:val="18"/>
                <w:szCs w:val="18"/>
                <w:lang w:bidi="si-LK"/>
              </w:rPr>
              <w:t xml:space="preserve">NVDA announces “a is equal to negative b over      </w:t>
            </w:r>
            <w:proofErr w:type="spellStart"/>
            <w:proofErr w:type="gramStart"/>
            <w:r>
              <w:rPr>
                <w:rFonts w:ascii="Segoe UI" w:hAnsi="Segoe UI" w:cs="Segoe UI"/>
                <w:kern w:val="0"/>
                <w:sz w:val="18"/>
                <w:szCs w:val="18"/>
                <w:lang w:bidi="si-LK"/>
              </w:rPr>
              <w:t>a</w:t>
            </w:r>
            <w:proofErr w:type="spellEnd"/>
            <w:proofErr w:type="gramEnd"/>
            <w:r>
              <w:rPr>
                <w:rFonts w:ascii="Segoe UI" w:hAnsi="Segoe UI" w:cs="Segoe UI"/>
                <w:kern w:val="0"/>
                <w:sz w:val="18"/>
                <w:szCs w:val="18"/>
                <w:lang w:bidi="si-LK"/>
              </w:rPr>
              <w:t xml:space="preserve"> end denominator”</w:t>
            </w:r>
          </w:p>
        </w:tc>
      </w:tr>
      <w:tr w:rsidR="00272E74" w:rsidRPr="004C393D" w14:paraId="10A07313" w14:textId="77777777">
        <w:tc>
          <w:tcPr>
            <w:tcW w:w="4721" w:type="dxa"/>
          </w:tcPr>
          <w:p w14:paraId="5361DB32" w14:textId="7460A6E4" w:rsidR="00272E74" w:rsidRDefault="00272E74">
            <w:r>
              <w:t>Use the right key to exit the expression and leave math editing mode</w:t>
            </w:r>
          </w:p>
        </w:tc>
        <w:tc>
          <w:tcPr>
            <w:tcW w:w="4295" w:type="dxa"/>
          </w:tcPr>
          <w:p w14:paraId="6C22DDB6" w14:textId="77777777" w:rsidR="00272E74" w:rsidRDefault="00272E74"/>
        </w:tc>
      </w:tr>
    </w:tbl>
    <w:p w14:paraId="248D1C70" w14:textId="77777777" w:rsidR="0017659A" w:rsidRDefault="0017659A" w:rsidP="006B305F">
      <w:pPr>
        <w:rPr>
          <w:lang w:val="en-US"/>
        </w:rPr>
      </w:pPr>
    </w:p>
    <w:p w14:paraId="59F1EB6B" w14:textId="77777777" w:rsidR="00C403EC" w:rsidRDefault="00C403EC" w:rsidP="00C403EC">
      <w:pPr>
        <w:pStyle w:val="Heading3"/>
        <w:rPr>
          <w:lang w:val="en-US"/>
        </w:rPr>
      </w:pPr>
      <w:r>
        <w:rPr>
          <w:lang w:val="en-US"/>
        </w:rPr>
        <w:lastRenderedPageBreak/>
        <w:t>More complex fractions</w:t>
      </w:r>
    </w:p>
    <w:p w14:paraId="6CEB381E" w14:textId="608C871A" w:rsidR="00C403EC" w:rsidRDefault="00E70E32" w:rsidP="006B305F">
      <w:pPr>
        <w:rPr>
          <w:lang w:val="en-US"/>
        </w:rPr>
      </w:pPr>
      <w:r>
        <w:rPr>
          <w:lang w:val="en-US"/>
        </w:rPr>
        <w:t>To make a more complex fraction</w:t>
      </w:r>
      <w:r w:rsidR="0054141B">
        <w:rPr>
          <w:lang w:val="en-US"/>
        </w:rPr>
        <w:t xml:space="preserve">, enter </w:t>
      </w:r>
      <w:r w:rsidR="00DB6305">
        <w:rPr>
          <w:lang w:val="en-US"/>
        </w:rPr>
        <w:t>math mode, enter slash and space. This creates the structure, use the arrow keys to move within the fraction and enter the denominator and numerator. Check your work.</w:t>
      </w:r>
    </w:p>
    <w:p w14:paraId="37A4F068" w14:textId="6A8CD7E9" w:rsidR="00DB6305" w:rsidRDefault="00DB6305" w:rsidP="006B305F">
      <w:pPr>
        <w:rPr>
          <w:lang w:val="en-US"/>
        </w:rPr>
      </w:pPr>
    </w:p>
    <w:sectPr w:rsidR="00DB6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A28"/>
    <w:multiLevelType w:val="hybridMultilevel"/>
    <w:tmpl w:val="A99E8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13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BE"/>
    <w:rsid w:val="00000782"/>
    <w:rsid w:val="00026E89"/>
    <w:rsid w:val="00031323"/>
    <w:rsid w:val="00041BA3"/>
    <w:rsid w:val="00042157"/>
    <w:rsid w:val="00087796"/>
    <w:rsid w:val="000962F7"/>
    <w:rsid w:val="000A29AC"/>
    <w:rsid w:val="000A344D"/>
    <w:rsid w:val="000B7A15"/>
    <w:rsid w:val="000C0A6B"/>
    <w:rsid w:val="000F4C5F"/>
    <w:rsid w:val="000F6A24"/>
    <w:rsid w:val="001042B5"/>
    <w:rsid w:val="00106E56"/>
    <w:rsid w:val="00114661"/>
    <w:rsid w:val="001339A5"/>
    <w:rsid w:val="00136839"/>
    <w:rsid w:val="00152AE6"/>
    <w:rsid w:val="00170D48"/>
    <w:rsid w:val="0017659A"/>
    <w:rsid w:val="001E2B1A"/>
    <w:rsid w:val="00215BAC"/>
    <w:rsid w:val="00252C2D"/>
    <w:rsid w:val="002642B5"/>
    <w:rsid w:val="00272E74"/>
    <w:rsid w:val="00281326"/>
    <w:rsid w:val="002E06A8"/>
    <w:rsid w:val="002F3254"/>
    <w:rsid w:val="00321B8A"/>
    <w:rsid w:val="00325980"/>
    <w:rsid w:val="00326A2C"/>
    <w:rsid w:val="00327834"/>
    <w:rsid w:val="003369B8"/>
    <w:rsid w:val="003A0323"/>
    <w:rsid w:val="003A5271"/>
    <w:rsid w:val="003B6166"/>
    <w:rsid w:val="003D2E03"/>
    <w:rsid w:val="003F240B"/>
    <w:rsid w:val="0040079F"/>
    <w:rsid w:val="004063BE"/>
    <w:rsid w:val="00413FCD"/>
    <w:rsid w:val="0041762C"/>
    <w:rsid w:val="00421042"/>
    <w:rsid w:val="00421E58"/>
    <w:rsid w:val="004234A6"/>
    <w:rsid w:val="0043741E"/>
    <w:rsid w:val="0044027E"/>
    <w:rsid w:val="004402D0"/>
    <w:rsid w:val="004570AB"/>
    <w:rsid w:val="00476F23"/>
    <w:rsid w:val="004834B0"/>
    <w:rsid w:val="00485E34"/>
    <w:rsid w:val="004904F1"/>
    <w:rsid w:val="004B30EB"/>
    <w:rsid w:val="004C1ADC"/>
    <w:rsid w:val="004C393D"/>
    <w:rsid w:val="0050334A"/>
    <w:rsid w:val="0051154C"/>
    <w:rsid w:val="00513F8F"/>
    <w:rsid w:val="0054141B"/>
    <w:rsid w:val="00562061"/>
    <w:rsid w:val="0056271D"/>
    <w:rsid w:val="00577DAF"/>
    <w:rsid w:val="00581561"/>
    <w:rsid w:val="005939B7"/>
    <w:rsid w:val="005A0D7C"/>
    <w:rsid w:val="005A1B70"/>
    <w:rsid w:val="005A688F"/>
    <w:rsid w:val="005E0C4D"/>
    <w:rsid w:val="00606744"/>
    <w:rsid w:val="006205A4"/>
    <w:rsid w:val="00633BC5"/>
    <w:rsid w:val="00693779"/>
    <w:rsid w:val="006B305F"/>
    <w:rsid w:val="006B3098"/>
    <w:rsid w:val="006C6F09"/>
    <w:rsid w:val="00716D3E"/>
    <w:rsid w:val="00754657"/>
    <w:rsid w:val="007668F3"/>
    <w:rsid w:val="00773E64"/>
    <w:rsid w:val="007B7CF3"/>
    <w:rsid w:val="007E6C34"/>
    <w:rsid w:val="007F2D57"/>
    <w:rsid w:val="00804846"/>
    <w:rsid w:val="00821A8E"/>
    <w:rsid w:val="0082389F"/>
    <w:rsid w:val="00837EAA"/>
    <w:rsid w:val="008409A4"/>
    <w:rsid w:val="008946D5"/>
    <w:rsid w:val="008C476B"/>
    <w:rsid w:val="008D36E1"/>
    <w:rsid w:val="008E28DF"/>
    <w:rsid w:val="00906AD3"/>
    <w:rsid w:val="009560BB"/>
    <w:rsid w:val="009731DF"/>
    <w:rsid w:val="009C2289"/>
    <w:rsid w:val="009D49D2"/>
    <w:rsid w:val="009D5723"/>
    <w:rsid w:val="009E0B35"/>
    <w:rsid w:val="00A057B5"/>
    <w:rsid w:val="00A306C6"/>
    <w:rsid w:val="00A63C08"/>
    <w:rsid w:val="00A77CD4"/>
    <w:rsid w:val="00A8596B"/>
    <w:rsid w:val="00A90D10"/>
    <w:rsid w:val="00AA2759"/>
    <w:rsid w:val="00AA4933"/>
    <w:rsid w:val="00AB1E48"/>
    <w:rsid w:val="00AC3480"/>
    <w:rsid w:val="00AC5A91"/>
    <w:rsid w:val="00AF18BA"/>
    <w:rsid w:val="00AF1EC1"/>
    <w:rsid w:val="00B01593"/>
    <w:rsid w:val="00B25267"/>
    <w:rsid w:val="00B43AC1"/>
    <w:rsid w:val="00B51FAE"/>
    <w:rsid w:val="00B5208C"/>
    <w:rsid w:val="00B6736F"/>
    <w:rsid w:val="00B715E7"/>
    <w:rsid w:val="00B861AA"/>
    <w:rsid w:val="00B90F68"/>
    <w:rsid w:val="00C15A73"/>
    <w:rsid w:val="00C1693F"/>
    <w:rsid w:val="00C26BFE"/>
    <w:rsid w:val="00C2790A"/>
    <w:rsid w:val="00C403EC"/>
    <w:rsid w:val="00C41850"/>
    <w:rsid w:val="00C54393"/>
    <w:rsid w:val="00C62F33"/>
    <w:rsid w:val="00CC0007"/>
    <w:rsid w:val="00CF1A7F"/>
    <w:rsid w:val="00CF5A8E"/>
    <w:rsid w:val="00D13FBB"/>
    <w:rsid w:val="00D31979"/>
    <w:rsid w:val="00D47E8A"/>
    <w:rsid w:val="00D60ABE"/>
    <w:rsid w:val="00D67A40"/>
    <w:rsid w:val="00D70704"/>
    <w:rsid w:val="00D824EE"/>
    <w:rsid w:val="00D96EA5"/>
    <w:rsid w:val="00DB6305"/>
    <w:rsid w:val="00DC23BC"/>
    <w:rsid w:val="00DC30D3"/>
    <w:rsid w:val="00DD4E08"/>
    <w:rsid w:val="00E13131"/>
    <w:rsid w:val="00E21A6A"/>
    <w:rsid w:val="00E37D8D"/>
    <w:rsid w:val="00E53405"/>
    <w:rsid w:val="00E70E32"/>
    <w:rsid w:val="00E82B30"/>
    <w:rsid w:val="00E92795"/>
    <w:rsid w:val="00E97CDF"/>
    <w:rsid w:val="00EA3D6A"/>
    <w:rsid w:val="00ED5519"/>
    <w:rsid w:val="00ED69D7"/>
    <w:rsid w:val="00EE48D7"/>
    <w:rsid w:val="00F4604C"/>
    <w:rsid w:val="00F47DC0"/>
    <w:rsid w:val="00F51021"/>
    <w:rsid w:val="00F73CF2"/>
    <w:rsid w:val="00F773FE"/>
    <w:rsid w:val="00F85F55"/>
    <w:rsid w:val="00F870BA"/>
    <w:rsid w:val="00FA7B7C"/>
    <w:rsid w:val="00FC632A"/>
    <w:rsid w:val="00FD5893"/>
    <w:rsid w:val="00FF3FDC"/>
    <w:rsid w:val="1D5179E7"/>
    <w:rsid w:val="3A7D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299A"/>
  <w15:chartTrackingRefBased/>
  <w15:docId w15:val="{6C72FEBC-03E0-4806-9798-4F8BFD6E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0BB"/>
  </w:style>
  <w:style w:type="paragraph" w:styleId="Heading1">
    <w:name w:val="heading 1"/>
    <w:basedOn w:val="Normal"/>
    <w:next w:val="Normal"/>
    <w:link w:val="Heading1Char"/>
    <w:uiPriority w:val="9"/>
    <w:qFormat/>
    <w:rsid w:val="00423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2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7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4A6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16D3E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642B5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06E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5BA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551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C47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C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C6F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F6A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-join@daisylists.or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udio_demo_2.mp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dons.nvda-project.org/addons/MathCAT.en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vaccess.org/download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th@daisylist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2E3ADF2E9EC46AE1D62AE160ABD91" ma:contentTypeVersion="17" ma:contentTypeDescription="Create a new document." ma:contentTypeScope="" ma:versionID="229cc583874ed82c4a0e5214002308fa">
  <xsd:schema xmlns:xsd="http://www.w3.org/2001/XMLSchema" xmlns:xs="http://www.w3.org/2001/XMLSchema" xmlns:p="http://schemas.microsoft.com/office/2006/metadata/properties" xmlns:ns2="9dec4d84-8685-4aaf-9a98-a0694149e89e" xmlns:ns3="a40d51f4-f0d6-4f05-b688-6aaf2563ee8f" targetNamespace="http://schemas.microsoft.com/office/2006/metadata/properties" ma:root="true" ma:fieldsID="2e8b54671befed11c5e740e662f8fe19" ns2:_="" ns3:_="">
    <xsd:import namespace="9dec4d84-8685-4aaf-9a98-a0694149e89e"/>
    <xsd:import namespace="a40d51f4-f0d6-4f05-b688-6aaf2563e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d84-8685-4aaf-9a98-a0694149e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ef7826-fcf7-4b33-bad3-29fefbca4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d51f4-f0d6-4f05-b688-6aaf2563e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795aa6-278a-44b9-82e9-59c2c2e185c6}" ma:internalName="TaxCatchAll" ma:showField="CatchAllData" ma:web="a40d51f4-f0d6-4f05-b688-6aaf2563e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d84-8685-4aaf-9a98-a0694149e89e">
      <Terms xmlns="http://schemas.microsoft.com/office/infopath/2007/PartnerControls"/>
    </lcf76f155ced4ddcb4097134ff3c332f>
    <TaxCatchAll xmlns="a40d51f4-f0d6-4f05-b688-6aaf2563ee8f" xsi:nil="true"/>
  </documentManagement>
</p:properties>
</file>

<file path=customXml/itemProps1.xml><?xml version="1.0" encoding="utf-8"?>
<ds:datastoreItem xmlns:ds="http://schemas.openxmlformats.org/officeDocument/2006/customXml" ds:itemID="{2D4F22D7-CF3E-4AB0-B305-D35A4F297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c4d84-8685-4aaf-9a98-a0694149e89e"/>
    <ds:schemaRef ds:uri="a40d51f4-f0d6-4f05-b688-6aaf2563e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FCB7F-2D7D-481F-8AB1-4A0A437EB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9C86F-1982-47FA-8E57-2F80CCE7F06F}">
  <ds:schemaRefs>
    <ds:schemaRef ds:uri="http://schemas.microsoft.com/office/2006/metadata/properties"/>
    <ds:schemaRef ds:uri="http://schemas.microsoft.com/office/infopath/2007/PartnerControls"/>
    <ds:schemaRef ds:uri="9dec4d84-8685-4aaf-9a98-a0694149e89e"/>
    <ds:schemaRef ds:uri="a40d51f4-f0d6-4f05-b688-6aaf2563ee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Orme</dc:creator>
  <cp:keywords/>
  <dc:description/>
  <cp:lastModifiedBy>George Kerscher</cp:lastModifiedBy>
  <cp:revision>166</cp:revision>
  <dcterms:created xsi:type="dcterms:W3CDTF">2023-06-28T11:56:00Z</dcterms:created>
  <dcterms:modified xsi:type="dcterms:W3CDTF">2023-08-13T21:50:00Z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0x0101008B12E3ADF2E9EC46AE1D62AE160ABD91</vt:lpwstr>
  </property>
  <property fmtid="{D5CDD505-2E9C-101B-9397-08002B2CF9AE}" pid="3" name="MediaServiceImageTags">
    <vt:lpwstr/>
  </property>
</Properties>
</file>